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B5FDE" w14:textId="77777777" w:rsidR="00477EC6" w:rsidRPr="00896AF5" w:rsidRDefault="00477EC6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977D4" w14:textId="77777777" w:rsidR="00477EC6" w:rsidRPr="00896AF5" w:rsidRDefault="00C24DC0" w:rsidP="00896AF5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</w:p>
    <w:p w14:paraId="3436D1FD" w14:textId="77777777" w:rsidR="00477EC6" w:rsidRPr="00896AF5" w:rsidRDefault="00C24DC0" w:rsidP="00896AF5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>ИНСТРУКЦИЯ</w:t>
      </w:r>
    </w:p>
    <w:p w14:paraId="3622A5D0" w14:textId="77777777" w:rsidR="00477EC6" w:rsidRPr="00896AF5" w:rsidRDefault="00C24DC0" w:rsidP="00896AF5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>ПО МЕДИЦИНСКОМУ ПРИМЕНЕНИЮ ЛЕКАРСТВЕННОГО ПРЕПАРАТА</w:t>
      </w:r>
    </w:p>
    <w:p w14:paraId="6A3FDA4D" w14:textId="77777777" w:rsidR="00477EC6" w:rsidRPr="00896AF5" w:rsidRDefault="00AE3EB4" w:rsidP="00896AF5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Новобенон</w:t>
      </w:r>
      <w:proofErr w:type="spellEnd"/>
    </w:p>
    <w:p w14:paraId="2EA6AF97" w14:textId="77777777" w:rsidR="00AE3EB4" w:rsidRPr="00A26D78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896AF5">
        <w:rPr>
          <w:rFonts w:ascii="Times New Roman" w:hAnsi="Times New Roman" w:cs="Times New Roman"/>
          <w:b/>
          <w:sz w:val="28"/>
          <w:szCs w:val="28"/>
        </w:rPr>
        <w:t xml:space="preserve">Регистрационный номер </w:t>
      </w:r>
    </w:p>
    <w:p w14:paraId="4BAAF1BF" w14:textId="77777777" w:rsidR="00147DD3" w:rsidRPr="00A26D78" w:rsidRDefault="00147DD3" w:rsidP="00896AF5">
      <w:pPr>
        <w:pStyle w:val="ad"/>
        <w:spacing w:line="360" w:lineRule="auto"/>
        <w:jc w:val="both"/>
        <w:rPr>
          <w:rStyle w:val="11"/>
          <w:rFonts w:eastAsia="Courier New"/>
          <w:b w:val="0"/>
          <w:sz w:val="28"/>
          <w:szCs w:val="28"/>
        </w:rPr>
      </w:pPr>
    </w:p>
    <w:p w14:paraId="78090792" w14:textId="77777777" w:rsidR="00147DD3" w:rsidRPr="00A26D78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AF5">
        <w:rPr>
          <w:rFonts w:ascii="Times New Roman" w:hAnsi="Times New Roman" w:cs="Times New Roman"/>
          <w:b/>
          <w:sz w:val="28"/>
          <w:szCs w:val="28"/>
        </w:rPr>
        <w:t>Торговое наименование</w:t>
      </w:r>
      <w:bookmarkEnd w:id="0"/>
      <w:r w:rsidR="007454D1" w:rsidRPr="00A26D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746E6B" w14:textId="77777777" w:rsidR="00477EC6" w:rsidRPr="00896AF5" w:rsidRDefault="00AE3EB4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Новобенон</w:t>
      </w:r>
      <w:proofErr w:type="spellEnd"/>
    </w:p>
    <w:p w14:paraId="46BCB472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896AF5">
        <w:rPr>
          <w:rFonts w:ascii="Times New Roman" w:hAnsi="Times New Roman" w:cs="Times New Roman"/>
          <w:b/>
          <w:sz w:val="28"/>
          <w:szCs w:val="28"/>
        </w:rPr>
        <w:t>Международное непатентованное или группировочное наименование</w:t>
      </w:r>
      <w:bookmarkEnd w:id="1"/>
    </w:p>
    <w:p w14:paraId="50634E62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идебенон</w:t>
      </w:r>
      <w:proofErr w:type="spellEnd"/>
    </w:p>
    <w:p w14:paraId="0CC2DEB2" w14:textId="77777777" w:rsidR="00147DD3" w:rsidRPr="00A26D78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896AF5">
        <w:rPr>
          <w:rFonts w:ascii="Times New Roman" w:hAnsi="Times New Roman" w:cs="Times New Roman"/>
          <w:b/>
          <w:sz w:val="28"/>
          <w:szCs w:val="28"/>
        </w:rPr>
        <w:t>Лекарственная форма</w:t>
      </w:r>
      <w:bookmarkEnd w:id="2"/>
      <w:r w:rsidR="007454D1" w:rsidRPr="00A26D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E60504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>капсулы</w:t>
      </w:r>
    </w:p>
    <w:p w14:paraId="555B46B0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4"/>
      <w:r w:rsidRPr="00896AF5">
        <w:rPr>
          <w:rFonts w:ascii="Times New Roman" w:hAnsi="Times New Roman" w:cs="Times New Roman"/>
          <w:b/>
          <w:sz w:val="28"/>
          <w:szCs w:val="28"/>
        </w:rPr>
        <w:t>Состав</w:t>
      </w:r>
      <w:bookmarkEnd w:id="3"/>
    </w:p>
    <w:p w14:paraId="29B3BEC8" w14:textId="77777777" w:rsidR="00477EC6" w:rsidRPr="00896AF5" w:rsidRDefault="00896AF5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на одну капсулу:</w:t>
      </w:r>
    </w:p>
    <w:p w14:paraId="6FAAC742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4F0">
        <w:rPr>
          <w:rFonts w:ascii="Times New Roman" w:hAnsi="Times New Roman" w:cs="Times New Roman"/>
          <w:i/>
          <w:sz w:val="28"/>
          <w:szCs w:val="28"/>
        </w:rPr>
        <w:t>Действующее вещество:</w:t>
      </w:r>
      <w:r w:rsidRPr="00896AF5">
        <w:rPr>
          <w:rStyle w:val="41"/>
          <w:rFonts w:eastAsia="Courier New"/>
          <w:sz w:val="28"/>
          <w:szCs w:val="28"/>
        </w:rPr>
        <w:t xml:space="preserve"> </w:t>
      </w:r>
      <w:proofErr w:type="spellStart"/>
      <w:r w:rsidR="00896AF5" w:rsidRPr="00896AF5">
        <w:rPr>
          <w:rStyle w:val="41"/>
          <w:rFonts w:eastAsia="Courier New"/>
          <w:i w:val="0"/>
          <w:sz w:val="28"/>
          <w:szCs w:val="28"/>
        </w:rPr>
        <w:t>И</w:t>
      </w:r>
      <w:r w:rsidRPr="00896AF5">
        <w:rPr>
          <w:rStyle w:val="41"/>
          <w:rFonts w:eastAsia="Courier New"/>
          <w:i w:val="0"/>
          <w:sz w:val="28"/>
          <w:szCs w:val="28"/>
        </w:rPr>
        <w:t>дебенон</w:t>
      </w:r>
      <w:proofErr w:type="spellEnd"/>
      <w:r w:rsidRPr="00896AF5">
        <w:rPr>
          <w:rStyle w:val="41"/>
          <w:rFonts w:eastAsia="Courier New"/>
          <w:i w:val="0"/>
          <w:sz w:val="28"/>
          <w:szCs w:val="28"/>
        </w:rPr>
        <w:t xml:space="preserve"> </w:t>
      </w:r>
      <w:r w:rsidR="00896AF5">
        <w:rPr>
          <w:rStyle w:val="41"/>
          <w:rFonts w:eastAsia="Courier New"/>
          <w:i w:val="0"/>
          <w:sz w:val="28"/>
          <w:szCs w:val="28"/>
        </w:rPr>
        <w:t xml:space="preserve">- </w:t>
      </w:r>
      <w:r w:rsidRPr="00896AF5">
        <w:rPr>
          <w:rStyle w:val="41"/>
          <w:rFonts w:eastAsia="Courier New"/>
          <w:i w:val="0"/>
          <w:sz w:val="28"/>
          <w:szCs w:val="28"/>
        </w:rPr>
        <w:t>30</w:t>
      </w:r>
      <w:r w:rsidR="00896AF5" w:rsidRPr="00896AF5">
        <w:rPr>
          <w:rStyle w:val="41"/>
          <w:rFonts w:eastAsia="Courier New"/>
          <w:i w:val="0"/>
          <w:sz w:val="28"/>
          <w:szCs w:val="28"/>
        </w:rPr>
        <w:t>,0</w:t>
      </w:r>
      <w:r w:rsidRPr="00896AF5">
        <w:rPr>
          <w:rStyle w:val="41"/>
          <w:rFonts w:eastAsia="Courier New"/>
          <w:i w:val="0"/>
          <w:sz w:val="28"/>
          <w:szCs w:val="28"/>
        </w:rPr>
        <w:t xml:space="preserve"> мг.</w:t>
      </w:r>
    </w:p>
    <w:p w14:paraId="05AB2F8F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Style w:val="21"/>
          <w:rFonts w:eastAsia="Courier New"/>
          <w:sz w:val="28"/>
          <w:szCs w:val="28"/>
        </w:rPr>
        <w:t>Вспомогательные вещества:</w:t>
      </w:r>
      <w:r w:rsidRPr="00896AF5">
        <w:rPr>
          <w:rFonts w:ascii="Times New Roman" w:hAnsi="Times New Roman" w:cs="Times New Roman"/>
          <w:sz w:val="28"/>
          <w:szCs w:val="28"/>
        </w:rPr>
        <w:t xml:space="preserve"> лактозы моногидрат</w:t>
      </w:r>
      <w:r w:rsidR="00C244F0">
        <w:rPr>
          <w:rFonts w:ascii="Times New Roman" w:hAnsi="Times New Roman" w:cs="Times New Roman"/>
          <w:sz w:val="28"/>
          <w:szCs w:val="28"/>
        </w:rPr>
        <w:t>,</w:t>
      </w:r>
      <w:r w:rsidR="00C244F0" w:rsidRPr="00C244F0">
        <w:rPr>
          <w:rFonts w:ascii="Times New Roman" w:hAnsi="Times New Roman" w:cs="Times New Roman"/>
          <w:sz w:val="28"/>
          <w:szCs w:val="28"/>
        </w:rPr>
        <w:t xml:space="preserve"> </w:t>
      </w:r>
      <w:r w:rsidR="00C244F0" w:rsidRPr="00896AF5">
        <w:rPr>
          <w:rFonts w:ascii="Times New Roman" w:hAnsi="Times New Roman" w:cs="Times New Roman"/>
          <w:sz w:val="28"/>
          <w:szCs w:val="28"/>
        </w:rPr>
        <w:t>крахмал картофельный,</w:t>
      </w:r>
      <w:r w:rsidRPr="00896AF5">
        <w:rPr>
          <w:rFonts w:ascii="Times New Roman" w:hAnsi="Times New Roman" w:cs="Times New Roman"/>
          <w:sz w:val="28"/>
          <w:szCs w:val="28"/>
        </w:rPr>
        <w:t xml:space="preserve"> целлюлоза микрокристаллическая,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повидон</w:t>
      </w:r>
      <w:proofErr w:type="spellEnd"/>
      <w:r w:rsidR="00C237FC">
        <w:rPr>
          <w:rFonts w:ascii="Times New Roman" w:hAnsi="Times New Roman" w:cs="Times New Roman"/>
          <w:sz w:val="28"/>
          <w:szCs w:val="28"/>
        </w:rPr>
        <w:t xml:space="preserve"> К-17</w:t>
      </w:r>
      <w:r w:rsidRPr="00896AF5">
        <w:rPr>
          <w:rFonts w:ascii="Times New Roman" w:hAnsi="Times New Roman" w:cs="Times New Roman"/>
          <w:sz w:val="28"/>
          <w:szCs w:val="28"/>
        </w:rPr>
        <w:t xml:space="preserve">, магния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стеарат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>.</w:t>
      </w:r>
    </w:p>
    <w:p w14:paraId="134C28BD" w14:textId="77777777" w:rsidR="00477EC6" w:rsidRPr="00C244F0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Style w:val="21"/>
          <w:rFonts w:eastAsia="Courier New"/>
          <w:sz w:val="28"/>
          <w:szCs w:val="28"/>
        </w:rPr>
        <w:t>Компоненты оболочки капсулы:</w:t>
      </w:r>
      <w:r w:rsidRPr="00896AF5">
        <w:rPr>
          <w:rFonts w:ascii="Times New Roman" w:hAnsi="Times New Roman" w:cs="Times New Roman"/>
          <w:sz w:val="28"/>
          <w:szCs w:val="28"/>
        </w:rPr>
        <w:t xml:space="preserve"> </w:t>
      </w:r>
      <w:r w:rsidR="00C244F0">
        <w:rPr>
          <w:rFonts w:ascii="Times New Roman" w:hAnsi="Times New Roman" w:cs="Times New Roman"/>
          <w:sz w:val="28"/>
          <w:szCs w:val="28"/>
        </w:rPr>
        <w:t xml:space="preserve">желатин, титана диоксид </w:t>
      </w:r>
      <w:r w:rsidR="00C244F0" w:rsidRPr="00C244F0">
        <w:rPr>
          <w:rFonts w:ascii="Times New Roman" w:hAnsi="Times New Roman" w:cs="Times New Roman"/>
          <w:sz w:val="28"/>
          <w:szCs w:val="28"/>
        </w:rPr>
        <w:t>[</w:t>
      </w:r>
      <w:r w:rsidRPr="00896AF5">
        <w:rPr>
          <w:rFonts w:ascii="Times New Roman" w:hAnsi="Times New Roman" w:cs="Times New Roman"/>
          <w:sz w:val="28"/>
          <w:szCs w:val="28"/>
        </w:rPr>
        <w:t>Е171</w:t>
      </w:r>
      <w:r w:rsidR="00C244F0" w:rsidRPr="00C244F0">
        <w:rPr>
          <w:rFonts w:ascii="Times New Roman" w:hAnsi="Times New Roman" w:cs="Times New Roman"/>
          <w:sz w:val="28"/>
          <w:szCs w:val="28"/>
        </w:rPr>
        <w:t>]</w:t>
      </w:r>
      <w:r w:rsidRPr="00896AF5">
        <w:rPr>
          <w:rFonts w:ascii="Times New Roman" w:hAnsi="Times New Roman" w:cs="Times New Roman"/>
          <w:sz w:val="28"/>
          <w:szCs w:val="28"/>
        </w:rPr>
        <w:t xml:space="preserve">, краситель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хинолиновый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желтый </w:t>
      </w:r>
      <w:r w:rsidR="00C244F0" w:rsidRPr="00C244F0">
        <w:rPr>
          <w:rFonts w:ascii="Times New Roman" w:hAnsi="Times New Roman" w:cs="Times New Roman"/>
          <w:sz w:val="28"/>
          <w:szCs w:val="28"/>
        </w:rPr>
        <w:t>[</w:t>
      </w:r>
      <w:r w:rsidR="00C244F0">
        <w:rPr>
          <w:rFonts w:ascii="Times New Roman" w:hAnsi="Times New Roman" w:cs="Times New Roman"/>
          <w:sz w:val="28"/>
          <w:szCs w:val="28"/>
        </w:rPr>
        <w:t>Е104</w:t>
      </w:r>
      <w:r w:rsidR="00C244F0" w:rsidRPr="00C244F0">
        <w:rPr>
          <w:rFonts w:ascii="Times New Roman" w:hAnsi="Times New Roman" w:cs="Times New Roman"/>
          <w:sz w:val="28"/>
          <w:szCs w:val="28"/>
        </w:rPr>
        <w:t>]</w:t>
      </w:r>
      <w:r w:rsidRPr="00896AF5">
        <w:rPr>
          <w:rFonts w:ascii="Times New Roman" w:hAnsi="Times New Roman" w:cs="Times New Roman"/>
          <w:sz w:val="28"/>
          <w:szCs w:val="28"/>
        </w:rPr>
        <w:t xml:space="preserve">, краситель солнечный закат желтый </w:t>
      </w:r>
      <w:r w:rsidR="00C244F0" w:rsidRPr="00C244F0">
        <w:rPr>
          <w:rFonts w:ascii="Times New Roman" w:hAnsi="Times New Roman" w:cs="Times New Roman"/>
          <w:sz w:val="28"/>
          <w:szCs w:val="28"/>
        </w:rPr>
        <w:t>[</w:t>
      </w:r>
      <w:r w:rsidRPr="00896AF5">
        <w:rPr>
          <w:rFonts w:ascii="Times New Roman" w:hAnsi="Times New Roman" w:cs="Times New Roman"/>
          <w:sz w:val="28"/>
          <w:szCs w:val="28"/>
        </w:rPr>
        <w:t>Е110</w:t>
      </w:r>
      <w:r w:rsidR="00C244F0" w:rsidRPr="00C244F0">
        <w:rPr>
          <w:rFonts w:ascii="Times New Roman" w:hAnsi="Times New Roman" w:cs="Times New Roman"/>
          <w:sz w:val="28"/>
          <w:szCs w:val="28"/>
        </w:rPr>
        <w:t>].</w:t>
      </w:r>
    </w:p>
    <w:p w14:paraId="6BC39F71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5"/>
      <w:r w:rsidRPr="00896AF5">
        <w:rPr>
          <w:rFonts w:ascii="Times New Roman" w:hAnsi="Times New Roman" w:cs="Times New Roman"/>
          <w:b/>
          <w:sz w:val="28"/>
          <w:szCs w:val="28"/>
        </w:rPr>
        <w:t>Описание</w:t>
      </w:r>
      <w:bookmarkEnd w:id="4"/>
    </w:p>
    <w:p w14:paraId="4AC8A883" w14:textId="77777777" w:rsidR="00C244F0" w:rsidRPr="00C244F0" w:rsidRDefault="00C244F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6"/>
      <w:r w:rsidRPr="00C244F0">
        <w:rPr>
          <w:rFonts w:ascii="Times New Roman" w:hAnsi="Times New Roman" w:cs="Times New Roman"/>
          <w:sz w:val="28"/>
          <w:szCs w:val="28"/>
        </w:rPr>
        <w:t>Капсулы желатиновые твердые непрозрачные желтого цвета № 1. Содержимое капсул - гранулят, содержащий гранулы и порошок желтого или желто-оранжевого цвета с вкраплениями от светло-желтого до оранжевого цвета, допускаются белые вкрапления.</w:t>
      </w:r>
    </w:p>
    <w:p w14:paraId="0EF58A2D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AF5">
        <w:rPr>
          <w:rFonts w:ascii="Times New Roman" w:hAnsi="Times New Roman" w:cs="Times New Roman"/>
          <w:b/>
          <w:sz w:val="28"/>
          <w:szCs w:val="28"/>
        </w:rPr>
        <w:t>Фармакотерапевтическая группа</w:t>
      </w:r>
      <w:bookmarkEnd w:id="5"/>
    </w:p>
    <w:p w14:paraId="7CC298FD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>Ноотропное средство</w:t>
      </w:r>
    </w:p>
    <w:p w14:paraId="50742E66" w14:textId="77777777" w:rsidR="00477EC6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7"/>
      <w:r w:rsidRPr="00896AF5">
        <w:rPr>
          <w:rFonts w:ascii="Times New Roman" w:hAnsi="Times New Roman" w:cs="Times New Roman"/>
          <w:b/>
          <w:sz w:val="28"/>
          <w:szCs w:val="28"/>
        </w:rPr>
        <w:t>Код АТХ</w:t>
      </w:r>
      <w:bookmarkEnd w:id="6"/>
    </w:p>
    <w:p w14:paraId="1424EF13" w14:textId="77777777" w:rsidR="00896AF5" w:rsidRPr="00896AF5" w:rsidRDefault="00896AF5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896AF5">
        <w:rPr>
          <w:rFonts w:ascii="Times New Roman" w:hAnsi="Times New Roman" w:cs="Times New Roman"/>
          <w:sz w:val="28"/>
          <w:szCs w:val="28"/>
          <w:lang w:bidi="en-US"/>
        </w:rPr>
        <w:t>N06BX13</w:t>
      </w:r>
    </w:p>
    <w:p w14:paraId="67F47495" w14:textId="77777777" w:rsidR="00896AF5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8"/>
      <w:r w:rsidRPr="00896A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Фармакологические свойства </w:t>
      </w:r>
    </w:p>
    <w:p w14:paraId="28295950" w14:textId="77777777" w:rsidR="00477EC6" w:rsidRPr="00896AF5" w:rsidRDefault="00B70DD3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AF5">
        <w:rPr>
          <w:rStyle w:val="12"/>
          <w:rFonts w:eastAsia="Courier New"/>
          <w:b w:val="0"/>
          <w:sz w:val="28"/>
          <w:szCs w:val="28"/>
        </w:rPr>
        <w:t>Фармако</w:t>
      </w:r>
      <w:r w:rsidR="00C24DC0" w:rsidRPr="00896AF5">
        <w:rPr>
          <w:rStyle w:val="12"/>
          <w:rFonts w:eastAsia="Courier New"/>
          <w:b w:val="0"/>
          <w:sz w:val="28"/>
          <w:szCs w:val="28"/>
        </w:rPr>
        <w:t>динамика</w:t>
      </w:r>
      <w:bookmarkEnd w:id="7"/>
    </w:p>
    <w:p w14:paraId="55541C17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 xml:space="preserve">Ноотропное средство, оказывающее метаболическое и трофическое действие. Обладает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мембраностабилизирующими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свойствами, замедляет перекисное окисление липидов, предохраняет мембраны нейронов и митохондрий от повреждений. Является антиоксидантом. В эксперименте установлено, что под влиянием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идебенона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происходит ингибирование процессов апоптоза. В основе такого эффекта лежат как антиоксидантные свойства препарата, так и его способность стимулировать выработку нейротрофических факторов. В условиях эксперимента в культуре нервной ткани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идебенон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предотвращал образование свободных радикалов, при этом снижалась концентрация продуктов оксидантного повреждения белков.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Идебенон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активирует образование АТФ, а также утилизацию глюкозы в нервной ткани, параллельно снижается вероятность возникновения лактат-ацидоза. Помимо ацетилхолинергической системы, он действует на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серотонинергическую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систему. С первых дней приема проявляет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антиастеническое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>, психостимулирующее и антидепрессивное действие, ноотропное действие реализуется несколько позже, через 3-4 недели приема.</w:t>
      </w:r>
    </w:p>
    <w:p w14:paraId="16C689E1" w14:textId="77777777" w:rsidR="00477EC6" w:rsidRPr="00896AF5" w:rsidRDefault="00B70DD3" w:rsidP="00896AF5">
      <w:pPr>
        <w:pStyle w:val="ad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AF5">
        <w:rPr>
          <w:rFonts w:ascii="Times New Roman" w:hAnsi="Times New Roman" w:cs="Times New Roman"/>
          <w:i/>
          <w:sz w:val="28"/>
          <w:szCs w:val="28"/>
        </w:rPr>
        <w:t>Фармакокин</w:t>
      </w:r>
      <w:r w:rsidR="00C24DC0" w:rsidRPr="00896AF5">
        <w:rPr>
          <w:rFonts w:ascii="Times New Roman" w:hAnsi="Times New Roman" w:cs="Times New Roman"/>
          <w:i/>
          <w:sz w:val="28"/>
          <w:szCs w:val="28"/>
        </w:rPr>
        <w:t>етика</w:t>
      </w:r>
    </w:p>
    <w:p w14:paraId="59A44950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Style w:val="21"/>
          <w:rFonts w:eastAsia="Courier New"/>
          <w:sz w:val="28"/>
          <w:szCs w:val="28"/>
        </w:rPr>
        <w:t>Всасывание:</w:t>
      </w:r>
      <w:r w:rsidRPr="00896AF5">
        <w:rPr>
          <w:rFonts w:ascii="Times New Roman" w:hAnsi="Times New Roman" w:cs="Times New Roman"/>
          <w:sz w:val="28"/>
          <w:szCs w:val="28"/>
        </w:rPr>
        <w:t xml:space="preserve"> абсорбция - быстрая и полная. Максимальная концентрация в плазме крови достигается через 4 часа. При приеме внутрь после еды биодоступность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идебенона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увеличивается.</w:t>
      </w:r>
    </w:p>
    <w:p w14:paraId="0E9D7455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Style w:val="21"/>
          <w:rFonts w:eastAsia="Courier New"/>
          <w:sz w:val="28"/>
          <w:szCs w:val="28"/>
        </w:rPr>
        <w:t>Распределение:</w:t>
      </w:r>
      <w:r w:rsidRPr="00896AF5">
        <w:rPr>
          <w:rFonts w:ascii="Times New Roman" w:hAnsi="Times New Roman" w:cs="Times New Roman"/>
          <w:sz w:val="28"/>
          <w:szCs w:val="28"/>
        </w:rPr>
        <w:t xml:space="preserve"> неклинические данные показывают, что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идебенон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легко проникает во все ткани, с относительно высокими концентрациями в кишечнике, печени и почках. В среднем 96</w:t>
      </w:r>
      <w:r w:rsidR="007454D1" w:rsidRPr="00A26D78">
        <w:rPr>
          <w:rFonts w:ascii="Times New Roman" w:hAnsi="Times New Roman" w:cs="Times New Roman"/>
          <w:sz w:val="28"/>
          <w:szCs w:val="28"/>
        </w:rPr>
        <w:t xml:space="preserve"> </w:t>
      </w:r>
      <w:r w:rsidRPr="00896AF5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идебенона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связывается с белками плазмы. Проникает через</w:t>
      </w:r>
      <w:r w:rsidR="007454D1" w:rsidRPr="007454D1">
        <w:rPr>
          <w:rFonts w:ascii="Times New Roman" w:hAnsi="Times New Roman" w:cs="Times New Roman"/>
          <w:sz w:val="28"/>
          <w:szCs w:val="28"/>
        </w:rPr>
        <w:t xml:space="preserve"> </w:t>
      </w:r>
      <w:r w:rsidRPr="00896AF5">
        <w:rPr>
          <w:rFonts w:ascii="Times New Roman" w:hAnsi="Times New Roman" w:cs="Times New Roman"/>
          <w:sz w:val="28"/>
          <w:szCs w:val="28"/>
        </w:rPr>
        <w:t xml:space="preserve">гематоэнцефалический барьер и в значительных количествах локализуется в митохондриях. Не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кумулирует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>.</w:t>
      </w:r>
    </w:p>
    <w:p w14:paraId="4984946E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Style w:val="21"/>
          <w:rFonts w:eastAsia="Courier New"/>
          <w:sz w:val="28"/>
          <w:szCs w:val="28"/>
        </w:rPr>
        <w:t>Метаболизм:</w:t>
      </w:r>
      <w:r w:rsidRPr="00896A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метаболизируется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печенью.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Биотрансформация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происходит путем</w:t>
      </w:r>
      <w:r w:rsidR="00896AF5">
        <w:rPr>
          <w:rFonts w:ascii="Times New Roman" w:hAnsi="Times New Roman" w:cs="Times New Roman"/>
          <w:sz w:val="28"/>
          <w:szCs w:val="28"/>
        </w:rPr>
        <w:t xml:space="preserve"> </w:t>
      </w:r>
      <w:r w:rsidRPr="00896AF5">
        <w:rPr>
          <w:rFonts w:ascii="Times New Roman" w:hAnsi="Times New Roman" w:cs="Times New Roman"/>
          <w:sz w:val="28"/>
          <w:szCs w:val="28"/>
        </w:rPr>
        <w:t xml:space="preserve">окислительного укорочения боковой цепи и восстановлением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хинонового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кольца с последующей конъюгацией с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глюкуронидами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и </w:t>
      </w:r>
      <w:r w:rsidRPr="00896AF5">
        <w:rPr>
          <w:rFonts w:ascii="Times New Roman" w:hAnsi="Times New Roman" w:cs="Times New Roman"/>
          <w:sz w:val="28"/>
          <w:szCs w:val="28"/>
        </w:rPr>
        <w:lastRenderedPageBreak/>
        <w:t xml:space="preserve">сульфатами. Основные метаболиты в плазме (до 99 %) -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конъюгаты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идебенона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. Основной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метаболизирующий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фермент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идебенона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не был определен. Ингибиторы и индукторы </w:t>
      </w:r>
      <w:r w:rsidRPr="00896AF5">
        <w:rPr>
          <w:rFonts w:ascii="Times New Roman" w:hAnsi="Times New Roman" w:cs="Times New Roman"/>
          <w:sz w:val="28"/>
          <w:szCs w:val="28"/>
          <w:lang w:val="en-US" w:eastAsia="en-US" w:bidi="en-US"/>
        </w:rPr>
        <w:t>CYP</w:t>
      </w:r>
      <w:r w:rsidRPr="00896AF5"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896AF5">
        <w:rPr>
          <w:rFonts w:ascii="Times New Roman" w:hAnsi="Times New Roman" w:cs="Times New Roman"/>
          <w:sz w:val="28"/>
          <w:szCs w:val="28"/>
          <w:lang w:val="en-US" w:eastAsia="en-US" w:bidi="en-US"/>
        </w:rPr>
        <w:t>C</w:t>
      </w:r>
      <w:r w:rsidRPr="00896AF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19, </w:t>
      </w:r>
      <w:r w:rsidRPr="00896AF5">
        <w:rPr>
          <w:rFonts w:ascii="Times New Roman" w:hAnsi="Times New Roman" w:cs="Times New Roman"/>
          <w:sz w:val="28"/>
          <w:szCs w:val="28"/>
          <w:lang w:val="en-US" w:eastAsia="en-US" w:bidi="en-US"/>
        </w:rPr>
        <w:t>CYP</w:t>
      </w:r>
      <w:r w:rsidRPr="00896AF5">
        <w:rPr>
          <w:rFonts w:ascii="Times New Roman" w:hAnsi="Times New Roman" w:cs="Times New Roman"/>
          <w:sz w:val="28"/>
          <w:szCs w:val="28"/>
          <w:lang w:eastAsia="en-US" w:bidi="en-US"/>
        </w:rPr>
        <w:t>1</w:t>
      </w:r>
      <w:r w:rsidRPr="00896AF5">
        <w:rPr>
          <w:rFonts w:ascii="Times New Roman" w:hAnsi="Times New Roman" w:cs="Times New Roman"/>
          <w:sz w:val="28"/>
          <w:szCs w:val="28"/>
          <w:lang w:val="en-US" w:eastAsia="en-US" w:bidi="en-US"/>
        </w:rPr>
        <w:t>A</w:t>
      </w:r>
      <w:r w:rsidRPr="00896AF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 </w:t>
      </w:r>
      <w:r w:rsidRPr="00896AF5">
        <w:rPr>
          <w:rFonts w:ascii="Times New Roman" w:hAnsi="Times New Roman" w:cs="Times New Roman"/>
          <w:sz w:val="28"/>
          <w:szCs w:val="28"/>
        </w:rPr>
        <w:t xml:space="preserve">и </w:t>
      </w:r>
      <w:r w:rsidRPr="00896AF5">
        <w:rPr>
          <w:rFonts w:ascii="Times New Roman" w:hAnsi="Times New Roman" w:cs="Times New Roman"/>
          <w:sz w:val="28"/>
          <w:szCs w:val="28"/>
          <w:lang w:val="en-US" w:eastAsia="en-US" w:bidi="en-US"/>
        </w:rPr>
        <w:t>CYP</w:t>
      </w:r>
      <w:r w:rsidRPr="00896AF5"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896AF5">
        <w:rPr>
          <w:rFonts w:ascii="Times New Roman" w:hAnsi="Times New Roman" w:cs="Times New Roman"/>
          <w:sz w:val="28"/>
          <w:szCs w:val="28"/>
          <w:lang w:val="en-US" w:eastAsia="en-US" w:bidi="en-US"/>
        </w:rPr>
        <w:t>A</w:t>
      </w:r>
      <w:r w:rsidRPr="00896AF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4 </w:t>
      </w:r>
      <w:r w:rsidRPr="00896AF5">
        <w:rPr>
          <w:rFonts w:ascii="Times New Roman" w:hAnsi="Times New Roman" w:cs="Times New Roman"/>
          <w:sz w:val="28"/>
          <w:szCs w:val="28"/>
        </w:rPr>
        <w:t xml:space="preserve">могут влиять на метаболизм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идебенона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. Клиническая значимость их неизвестна. </w:t>
      </w:r>
      <w:r w:rsidRPr="00896AF5">
        <w:rPr>
          <w:rStyle w:val="21"/>
          <w:rFonts w:eastAsia="Courier New"/>
          <w:sz w:val="28"/>
          <w:szCs w:val="28"/>
        </w:rPr>
        <w:t>Выведение:</w:t>
      </w:r>
      <w:r w:rsidRPr="00896AF5">
        <w:rPr>
          <w:rFonts w:ascii="Times New Roman" w:hAnsi="Times New Roman" w:cs="Times New Roman"/>
          <w:sz w:val="28"/>
          <w:szCs w:val="28"/>
        </w:rPr>
        <w:t xml:space="preserve"> Период полувыведения составляет около 18 часов, выводится с мочой (около 60-80 %) и фекальными массами.</w:t>
      </w:r>
    </w:p>
    <w:p w14:paraId="7E3F1899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9"/>
      <w:r w:rsidRPr="00896AF5">
        <w:rPr>
          <w:rFonts w:ascii="Times New Roman" w:hAnsi="Times New Roman" w:cs="Times New Roman"/>
          <w:b/>
          <w:sz w:val="28"/>
          <w:szCs w:val="28"/>
        </w:rPr>
        <w:t>Показания к применению</w:t>
      </w:r>
      <w:bookmarkEnd w:id="8"/>
    </w:p>
    <w:p w14:paraId="559FA136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>При лечении когнитивных и поведенческих нарушений, в результате патологии головного мозга сосудистого и дегенеративного происхождения.</w:t>
      </w:r>
    </w:p>
    <w:p w14:paraId="67F889BA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>При лечении когнитивных и поведенческих нарушений на фоне цереброваскулярной недостаточности и возрастных инволюционных изменений головного мозга.</w:t>
      </w:r>
    </w:p>
    <w:p w14:paraId="44C8A11A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10"/>
      <w:r w:rsidRPr="00896AF5">
        <w:rPr>
          <w:rFonts w:ascii="Times New Roman" w:hAnsi="Times New Roman" w:cs="Times New Roman"/>
          <w:b/>
          <w:sz w:val="28"/>
          <w:szCs w:val="28"/>
        </w:rPr>
        <w:t>Противопоказания</w:t>
      </w:r>
      <w:bookmarkEnd w:id="9"/>
    </w:p>
    <w:p w14:paraId="5FD937F0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 xml:space="preserve">Повышенная чувствительность к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идебенону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или другим компонентам препарата, хроническая почечная недостаточность, дефицит лактазы, непереносимость лактозы,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глюкозо-галактозная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мальабсорбция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>, возраст до 18 лет.</w:t>
      </w:r>
    </w:p>
    <w:p w14:paraId="2B43D5B2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11"/>
      <w:r w:rsidRPr="00896AF5">
        <w:rPr>
          <w:rFonts w:ascii="Times New Roman" w:hAnsi="Times New Roman" w:cs="Times New Roman"/>
          <w:b/>
          <w:sz w:val="28"/>
          <w:szCs w:val="28"/>
        </w:rPr>
        <w:t>С осторожностью</w:t>
      </w:r>
      <w:bookmarkEnd w:id="10"/>
    </w:p>
    <w:p w14:paraId="6469C988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 xml:space="preserve">Поскольку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идебенон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способен </w:t>
      </w:r>
      <w:r w:rsidRPr="00896AF5">
        <w:rPr>
          <w:rFonts w:ascii="Times New Roman" w:hAnsi="Times New Roman" w:cs="Times New Roman"/>
          <w:sz w:val="28"/>
          <w:szCs w:val="28"/>
          <w:lang w:val="en-US" w:eastAsia="en-US" w:bidi="en-US"/>
        </w:rPr>
        <w:t>in</w:t>
      </w:r>
      <w:r w:rsidRPr="00896AF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896AF5">
        <w:rPr>
          <w:rFonts w:ascii="Times New Roman" w:hAnsi="Times New Roman" w:cs="Times New Roman"/>
          <w:sz w:val="28"/>
          <w:szCs w:val="28"/>
          <w:lang w:val="en-US" w:eastAsia="en-US" w:bidi="en-US"/>
        </w:rPr>
        <w:t>vitro</w:t>
      </w:r>
      <w:r w:rsidRPr="00896AF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896AF5">
        <w:rPr>
          <w:rFonts w:ascii="Times New Roman" w:hAnsi="Times New Roman" w:cs="Times New Roman"/>
          <w:sz w:val="28"/>
          <w:szCs w:val="28"/>
        </w:rPr>
        <w:t>ингибировать агрегацию тромбоцитов, считается, что он должен с осторожностью использоваться при указании в анамнезе на геморрагический инсульт или у пациентов, которые получают антикоагулянты.</w:t>
      </w:r>
    </w:p>
    <w:p w14:paraId="49654544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bookmark12"/>
      <w:r w:rsidRPr="00896AF5">
        <w:rPr>
          <w:rFonts w:ascii="Times New Roman" w:hAnsi="Times New Roman" w:cs="Times New Roman"/>
          <w:b/>
          <w:sz w:val="28"/>
          <w:szCs w:val="28"/>
        </w:rPr>
        <w:t>Применение при беременности и в период грудного вскармливания</w:t>
      </w:r>
      <w:bookmarkEnd w:id="11"/>
    </w:p>
    <w:p w14:paraId="4D1F19E5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>Безопасность применения препарата у беременных женщин не установлена. Применение препарата при беременности возможно, если ожидаемая польза для матери превышает возможный риск для плода.</w:t>
      </w:r>
    </w:p>
    <w:p w14:paraId="3D313803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 xml:space="preserve">Применение препарата в период кормления грудью противопоказано. В доклинических исследованиях показано, что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идебенон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проникает в грудное молоко. При необходимости применения препарата в период грудного вскармливания, кормление грудью следует прекратить.</w:t>
      </w:r>
    </w:p>
    <w:p w14:paraId="243EB26B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bookmark13"/>
      <w:r w:rsidRPr="00896AF5">
        <w:rPr>
          <w:rFonts w:ascii="Times New Roman" w:hAnsi="Times New Roman" w:cs="Times New Roman"/>
          <w:b/>
          <w:sz w:val="28"/>
          <w:szCs w:val="28"/>
        </w:rPr>
        <w:lastRenderedPageBreak/>
        <w:t>Способ применения и дозы</w:t>
      </w:r>
      <w:bookmarkEnd w:id="12"/>
    </w:p>
    <w:p w14:paraId="144F78DB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>Внутрь, после еды (последний прием не позднее 17 ч).</w:t>
      </w:r>
    </w:p>
    <w:p w14:paraId="47DC360F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>По 30 мг (1 капсула) 2-3 раза в сутки. Курс лечения определяется врачом.</w:t>
      </w:r>
    </w:p>
    <w:p w14:paraId="6612C8BF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bookmark14"/>
      <w:r w:rsidRPr="00896AF5">
        <w:rPr>
          <w:rFonts w:ascii="Times New Roman" w:hAnsi="Times New Roman" w:cs="Times New Roman"/>
          <w:b/>
          <w:sz w:val="28"/>
          <w:szCs w:val="28"/>
        </w:rPr>
        <w:t>Побочное действие</w:t>
      </w:r>
      <w:bookmarkEnd w:id="13"/>
    </w:p>
    <w:p w14:paraId="79AC256B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 xml:space="preserve">Наиболее частые нежелательные реакции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идебенона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(&gt; 10 %), проявлявшиеся в различных клинических исследованиях были: тошнота, диспепсия, диарея (от легкой до умеренной, как правило, не требующая прекращения лечения),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назофарингит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, кашель, боль </w:t>
      </w:r>
      <w:r w:rsidRPr="00896AF5">
        <w:rPr>
          <w:rStyle w:val="295pt"/>
          <w:rFonts w:eastAsia="Courier New"/>
          <w:sz w:val="28"/>
          <w:szCs w:val="28"/>
        </w:rPr>
        <w:t>r</w:t>
      </w:r>
      <w:r w:rsidRPr="00896AF5">
        <w:rPr>
          <w:rStyle w:val="295pt"/>
          <w:rFonts w:eastAsia="Courier New"/>
          <w:sz w:val="28"/>
          <w:szCs w:val="28"/>
          <w:lang w:val="ru-RU"/>
        </w:rPr>
        <w:t xml:space="preserve"> </w:t>
      </w:r>
      <w:r w:rsidRPr="00896AF5">
        <w:rPr>
          <w:rFonts w:ascii="Times New Roman" w:hAnsi="Times New Roman" w:cs="Times New Roman"/>
          <w:sz w:val="28"/>
          <w:szCs w:val="28"/>
        </w:rPr>
        <w:t xml:space="preserve">спине. Большинство клинических исследований проводилось в достаточно специфичных условиях, и были использованы более высокие дозировки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идебенона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>. На этом основании</w:t>
      </w:r>
      <w:r w:rsidR="007454D1" w:rsidRPr="007454D1">
        <w:rPr>
          <w:rFonts w:ascii="Times New Roman" w:hAnsi="Times New Roman" w:cs="Times New Roman"/>
          <w:sz w:val="28"/>
          <w:szCs w:val="28"/>
        </w:rPr>
        <w:t xml:space="preserve"> </w:t>
      </w:r>
      <w:r w:rsidRPr="00896AF5">
        <w:rPr>
          <w:rFonts w:ascii="Times New Roman" w:hAnsi="Times New Roman" w:cs="Times New Roman"/>
          <w:sz w:val="28"/>
          <w:szCs w:val="28"/>
        </w:rPr>
        <w:t xml:space="preserve">частота нежелательных реакций при клинических исследованиях может не отражать их частоту при клиническом применении. Информацию о нежелательных реакциях при клинических исследованиях следует рассматривать с целью идентификации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лекарственно</w:t>
      </w:r>
      <w:r w:rsidRPr="00896AF5">
        <w:rPr>
          <w:rFonts w:ascii="Times New Roman" w:hAnsi="Times New Roman" w:cs="Times New Roman"/>
          <w:sz w:val="28"/>
          <w:szCs w:val="28"/>
        </w:rPr>
        <w:softHyphen/>
        <w:t>зависимых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реакций и примерной их частоты.</w:t>
      </w:r>
    </w:p>
    <w:p w14:paraId="5C247880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>Побочные действия препарата систематизированы относительно каждой из систем органов, с использованием следующей классификации частоты встречаемости: очень часто (&gt; 1/10), часто (&gt; 1/100, &lt; 1/10), частота неизвестна - по имеющимся данным установить частоту возникновения не представляется возможным.</w:t>
      </w:r>
    </w:p>
    <w:p w14:paraId="7E2F9F70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Style w:val="21"/>
          <w:rFonts w:eastAsia="Courier New"/>
          <w:sz w:val="28"/>
          <w:szCs w:val="28"/>
        </w:rPr>
        <w:t>Инфекционные и паразитарные заболевания:</w:t>
      </w:r>
      <w:r w:rsidRPr="00896AF5">
        <w:rPr>
          <w:rFonts w:ascii="Times New Roman" w:hAnsi="Times New Roman" w:cs="Times New Roman"/>
          <w:sz w:val="28"/>
          <w:szCs w:val="28"/>
        </w:rPr>
        <w:t xml:space="preserve"> очень часто: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назофарингит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>; частота неизвестна: бронхит.</w:t>
      </w:r>
    </w:p>
    <w:p w14:paraId="04047CD5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Style w:val="21"/>
          <w:rFonts w:eastAsia="Courier New"/>
          <w:sz w:val="28"/>
          <w:szCs w:val="28"/>
        </w:rPr>
        <w:t>Нарушения со стороны крови и лимфатической системы:</w:t>
      </w:r>
      <w:r w:rsidRPr="00896AF5">
        <w:rPr>
          <w:rFonts w:ascii="Times New Roman" w:hAnsi="Times New Roman" w:cs="Times New Roman"/>
          <w:sz w:val="28"/>
          <w:szCs w:val="28"/>
        </w:rPr>
        <w:t xml:space="preserve"> частота неизвестна: лейкопения, тромбоцитопения.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нейтропения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>, агранулоцитоз, анемия.</w:t>
      </w:r>
    </w:p>
    <w:p w14:paraId="3B35B5A5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Style w:val="21"/>
          <w:rFonts w:eastAsia="Courier New"/>
          <w:sz w:val="28"/>
          <w:szCs w:val="28"/>
        </w:rPr>
        <w:t>Нарушения со стороны иммунной системы:</w:t>
      </w:r>
      <w:r w:rsidRPr="00896AF5">
        <w:rPr>
          <w:rFonts w:ascii="Times New Roman" w:hAnsi="Times New Roman" w:cs="Times New Roman"/>
          <w:sz w:val="28"/>
          <w:szCs w:val="28"/>
        </w:rPr>
        <w:t xml:space="preserve"> частота неизвестна: аллергический ринит, гиперемия лица.</w:t>
      </w:r>
    </w:p>
    <w:p w14:paraId="1686529C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Style w:val="21"/>
          <w:rFonts w:eastAsia="Courier New"/>
          <w:sz w:val="28"/>
          <w:szCs w:val="28"/>
        </w:rPr>
        <w:t>Нарушения со стороны обмена веществ и питания:</w:t>
      </w:r>
      <w:r w:rsidRPr="00896AF5">
        <w:rPr>
          <w:rFonts w:ascii="Times New Roman" w:hAnsi="Times New Roman" w:cs="Times New Roman"/>
          <w:sz w:val="28"/>
          <w:szCs w:val="28"/>
        </w:rPr>
        <w:t xml:space="preserve"> частота неизвестна: повышение плазменной концентрации общего холестерина и триглицеридов.</w:t>
      </w:r>
    </w:p>
    <w:p w14:paraId="3A1BF214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Style w:val="21"/>
          <w:rFonts w:eastAsia="Courier New"/>
          <w:sz w:val="28"/>
          <w:szCs w:val="28"/>
        </w:rPr>
        <w:t>Нарушения психики:</w:t>
      </w:r>
      <w:r w:rsidRPr="00896AF5">
        <w:rPr>
          <w:rFonts w:ascii="Times New Roman" w:hAnsi="Times New Roman" w:cs="Times New Roman"/>
          <w:sz w:val="28"/>
          <w:szCs w:val="28"/>
        </w:rPr>
        <w:t xml:space="preserve"> частота неизвестна: бред, галлюцинации, возбуждение, дромомания, </w:t>
      </w:r>
      <w:proofErr w:type="spellStart"/>
      <w:proofErr w:type="gramStart"/>
      <w:r w:rsidRPr="00896AF5">
        <w:rPr>
          <w:rFonts w:ascii="Times New Roman" w:hAnsi="Times New Roman" w:cs="Times New Roman"/>
          <w:sz w:val="28"/>
          <w:szCs w:val="28"/>
        </w:rPr>
        <w:t>беспокойство,ступор</w:t>
      </w:r>
      <w:proofErr w:type="spellEnd"/>
      <w:proofErr w:type="gramEnd"/>
      <w:r w:rsidRPr="00896AF5">
        <w:rPr>
          <w:rFonts w:ascii="Times New Roman" w:hAnsi="Times New Roman" w:cs="Times New Roman"/>
          <w:sz w:val="28"/>
          <w:szCs w:val="28"/>
        </w:rPr>
        <w:t>.</w:t>
      </w:r>
    </w:p>
    <w:p w14:paraId="5D22C713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Style w:val="21"/>
          <w:rFonts w:eastAsia="Courier New"/>
          <w:sz w:val="28"/>
          <w:szCs w:val="28"/>
        </w:rPr>
        <w:t>Нарушения со стороны нервной системы:</w:t>
      </w:r>
      <w:r w:rsidRPr="00896AF5">
        <w:rPr>
          <w:rFonts w:ascii="Times New Roman" w:hAnsi="Times New Roman" w:cs="Times New Roman"/>
          <w:sz w:val="28"/>
          <w:szCs w:val="28"/>
        </w:rPr>
        <w:t xml:space="preserve"> частота неизвестна: судороги, </w:t>
      </w:r>
      <w:r w:rsidRPr="00896AF5">
        <w:rPr>
          <w:rFonts w:ascii="Times New Roman" w:hAnsi="Times New Roman" w:cs="Times New Roman"/>
          <w:sz w:val="28"/>
          <w:szCs w:val="28"/>
        </w:rPr>
        <w:lastRenderedPageBreak/>
        <w:t>гиперкинезы, головокружение, головная боль, бессонница, сонливость.</w:t>
      </w:r>
    </w:p>
    <w:p w14:paraId="1A3C0DA1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 xml:space="preserve">Нарушения со стороны дыхательной системы, органов грудной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кчетки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и средостения: </w:t>
      </w:r>
      <w:r w:rsidRPr="00896AF5">
        <w:rPr>
          <w:rStyle w:val="41"/>
          <w:rFonts w:eastAsia="Courier New"/>
          <w:sz w:val="28"/>
          <w:szCs w:val="28"/>
        </w:rPr>
        <w:t>очень часто: кашель.</w:t>
      </w:r>
    </w:p>
    <w:p w14:paraId="0CE39848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Style w:val="21"/>
          <w:rFonts w:eastAsia="Courier New"/>
          <w:sz w:val="28"/>
          <w:szCs w:val="28"/>
        </w:rPr>
        <w:t>Нарушения со стороны желудочно-кишечного тракта:</w:t>
      </w:r>
      <w:r w:rsidRPr="00896AF5">
        <w:rPr>
          <w:rFonts w:ascii="Times New Roman" w:hAnsi="Times New Roman" w:cs="Times New Roman"/>
          <w:sz w:val="28"/>
          <w:szCs w:val="28"/>
        </w:rPr>
        <w:t xml:space="preserve"> часто: диарея; частота неизвестна: диспепсия, тошнота, рвота, анорексия, боль в животе.</w:t>
      </w:r>
    </w:p>
    <w:p w14:paraId="1255BDE1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Style w:val="21"/>
          <w:rFonts w:eastAsia="Courier New"/>
          <w:sz w:val="28"/>
          <w:szCs w:val="28"/>
        </w:rPr>
        <w:t>Нарушения со стороны печени и желчевыводящих путей:</w:t>
      </w:r>
      <w:r w:rsidRPr="00896AF5">
        <w:rPr>
          <w:rFonts w:ascii="Times New Roman" w:hAnsi="Times New Roman" w:cs="Times New Roman"/>
          <w:sz w:val="28"/>
          <w:szCs w:val="28"/>
        </w:rPr>
        <w:t xml:space="preserve"> частота неизвестна: повышение активности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аспартатаминотрансферазы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>, гипербилирубинемия, повышение активности аланинаминотрансферазы, щелочной фосфатазы, лактатдегидрогеназы и у-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глутамилтрансферазы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, носящее преходящий характер, желтушность кожных покровов и </w:t>
      </w:r>
      <w:proofErr w:type="spellStart"/>
      <w:proofErr w:type="gramStart"/>
      <w:r w:rsidRPr="00896AF5">
        <w:rPr>
          <w:rFonts w:ascii="Times New Roman" w:hAnsi="Times New Roman" w:cs="Times New Roman"/>
          <w:sz w:val="28"/>
          <w:szCs w:val="28"/>
        </w:rPr>
        <w:t>склер,гепатит</w:t>
      </w:r>
      <w:proofErr w:type="spellEnd"/>
      <w:proofErr w:type="gramEnd"/>
      <w:r w:rsidRPr="00896AF5">
        <w:rPr>
          <w:rFonts w:ascii="Times New Roman" w:hAnsi="Times New Roman" w:cs="Times New Roman"/>
          <w:sz w:val="28"/>
          <w:szCs w:val="28"/>
        </w:rPr>
        <w:t>.</w:t>
      </w:r>
    </w:p>
    <w:p w14:paraId="7E620B4B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>Нарушения со стороны кожи и подкожных тканей:</w:t>
      </w:r>
      <w:r w:rsidRPr="00896AF5">
        <w:rPr>
          <w:rStyle w:val="41"/>
          <w:rFonts w:eastAsia="Courier New"/>
          <w:sz w:val="28"/>
          <w:szCs w:val="28"/>
        </w:rPr>
        <w:t xml:space="preserve"> частота неизвестна: кожная сыпь, зуд.</w:t>
      </w:r>
    </w:p>
    <w:p w14:paraId="1258430C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>Нарушения со стороны скелетно-мышечной и соединительной ткани:</w:t>
      </w:r>
      <w:r w:rsidRPr="00896AF5">
        <w:rPr>
          <w:rStyle w:val="41"/>
          <w:rFonts w:eastAsia="Courier New"/>
          <w:sz w:val="28"/>
          <w:szCs w:val="28"/>
        </w:rPr>
        <w:t xml:space="preserve"> часто: боль в спине; частота неизвестна: боль в конечностях.</w:t>
      </w:r>
    </w:p>
    <w:p w14:paraId="5F10CE24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Style w:val="21"/>
          <w:rFonts w:eastAsia="Courier New"/>
          <w:sz w:val="28"/>
          <w:szCs w:val="28"/>
        </w:rPr>
        <w:t>Нарушения со стороны почек и мочевыводящих путей:</w:t>
      </w:r>
      <w:r w:rsidRPr="00896AF5">
        <w:rPr>
          <w:rFonts w:ascii="Times New Roman" w:hAnsi="Times New Roman" w:cs="Times New Roman"/>
          <w:sz w:val="28"/>
          <w:szCs w:val="28"/>
        </w:rPr>
        <w:t xml:space="preserve"> частота неизвестна: повышение плазменной концентрации мочевины,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хроматурия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>.</w:t>
      </w:r>
    </w:p>
    <w:p w14:paraId="22C1306B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Style w:val="21"/>
          <w:rFonts w:eastAsia="Courier New"/>
          <w:sz w:val="28"/>
          <w:szCs w:val="28"/>
        </w:rPr>
        <w:t>Общие расстройства:</w:t>
      </w:r>
      <w:r w:rsidRPr="00896AF5">
        <w:rPr>
          <w:rFonts w:ascii="Times New Roman" w:hAnsi="Times New Roman" w:cs="Times New Roman"/>
          <w:sz w:val="28"/>
          <w:szCs w:val="28"/>
        </w:rPr>
        <w:t xml:space="preserve"> частота неизвестна: недомогание.</w:t>
      </w:r>
    </w:p>
    <w:p w14:paraId="686B3D94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>Если любые из указанных в инструкции побочных эффектов усугубляются, или Вы заметили любые другие побочные эффекты, не указанные в инструкции, сообщите об этом врачу.</w:t>
      </w:r>
    </w:p>
    <w:p w14:paraId="75264642" w14:textId="77777777" w:rsidR="00477EC6" w:rsidRPr="007454D1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bookmark15"/>
      <w:r w:rsidRPr="007454D1">
        <w:rPr>
          <w:rFonts w:ascii="Times New Roman" w:hAnsi="Times New Roman" w:cs="Times New Roman"/>
          <w:b/>
          <w:sz w:val="28"/>
          <w:szCs w:val="28"/>
        </w:rPr>
        <w:t>Передозировка</w:t>
      </w:r>
      <w:bookmarkEnd w:id="14"/>
    </w:p>
    <w:p w14:paraId="5862369B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 xml:space="preserve">Симптомы: усиление выраженности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дозозависимых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побочных явлений.</w:t>
      </w:r>
    </w:p>
    <w:p w14:paraId="4AD5B00D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>Лечение:</w:t>
      </w:r>
      <w:r w:rsidR="007454D1" w:rsidRPr="007454D1">
        <w:rPr>
          <w:rFonts w:ascii="Times New Roman" w:hAnsi="Times New Roman" w:cs="Times New Roman"/>
          <w:sz w:val="28"/>
          <w:szCs w:val="28"/>
        </w:rPr>
        <w:t xml:space="preserve"> </w:t>
      </w:r>
      <w:r w:rsidRPr="00896AF5">
        <w:rPr>
          <w:rFonts w:ascii="Times New Roman" w:hAnsi="Times New Roman" w:cs="Times New Roman"/>
          <w:sz w:val="28"/>
          <w:szCs w:val="28"/>
        </w:rPr>
        <w:t>при необходимости назначают активированный уголь и проводят</w:t>
      </w:r>
    </w:p>
    <w:p w14:paraId="02CFB11A" w14:textId="77777777" w:rsidR="00477EC6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>симптоматическую терапию.</w:t>
      </w:r>
    </w:p>
    <w:p w14:paraId="74C9E5C5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bookmark16"/>
      <w:r w:rsidRPr="00896AF5">
        <w:rPr>
          <w:rFonts w:ascii="Times New Roman" w:hAnsi="Times New Roman" w:cs="Times New Roman"/>
          <w:b/>
          <w:sz w:val="28"/>
          <w:szCs w:val="28"/>
        </w:rPr>
        <w:t>Взаимодействие с другими лекарственными средствами</w:t>
      </w:r>
      <w:bookmarkEnd w:id="15"/>
    </w:p>
    <w:p w14:paraId="0080A0AC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>Взаимодействие с другими лекарственными средствами не установлено.</w:t>
      </w:r>
    </w:p>
    <w:p w14:paraId="61A09277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bookmark17"/>
      <w:r w:rsidRPr="00896AF5">
        <w:rPr>
          <w:rFonts w:ascii="Times New Roman" w:hAnsi="Times New Roman" w:cs="Times New Roman"/>
          <w:b/>
          <w:sz w:val="28"/>
          <w:szCs w:val="28"/>
        </w:rPr>
        <w:t>Особые указания</w:t>
      </w:r>
      <w:bookmarkEnd w:id="16"/>
    </w:p>
    <w:p w14:paraId="681FD0F8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 xml:space="preserve">Метаболиты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идебенона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могут вызвать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хроматурию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(изменение цвета мочи до красновато- коричневого), не требующую изменения дозы или отмены лечения. Однако, для исключения маскирующих заболеваний, при </w:t>
      </w:r>
      <w:proofErr w:type="spellStart"/>
      <w:r w:rsidRPr="00896AF5">
        <w:rPr>
          <w:rFonts w:ascii="Times New Roman" w:hAnsi="Times New Roman" w:cs="Times New Roman"/>
          <w:sz w:val="28"/>
          <w:szCs w:val="28"/>
        </w:rPr>
        <w:t>хроматурии</w:t>
      </w:r>
      <w:proofErr w:type="spellEnd"/>
      <w:r w:rsidRPr="00896AF5">
        <w:rPr>
          <w:rFonts w:ascii="Times New Roman" w:hAnsi="Times New Roman" w:cs="Times New Roman"/>
          <w:sz w:val="28"/>
          <w:szCs w:val="28"/>
        </w:rPr>
        <w:t xml:space="preserve"> </w:t>
      </w:r>
      <w:r w:rsidRPr="00896AF5">
        <w:rPr>
          <w:rFonts w:ascii="Times New Roman" w:hAnsi="Times New Roman" w:cs="Times New Roman"/>
          <w:sz w:val="28"/>
          <w:szCs w:val="28"/>
        </w:rPr>
        <w:lastRenderedPageBreak/>
        <w:t>необходим общий анализ мочи.</w:t>
      </w:r>
    </w:p>
    <w:p w14:paraId="27A0BB6C" w14:textId="77777777" w:rsidR="00477EC6" w:rsidRPr="007454D1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bookmark18"/>
      <w:r w:rsidRPr="007454D1">
        <w:rPr>
          <w:rFonts w:ascii="Times New Roman" w:hAnsi="Times New Roman" w:cs="Times New Roman"/>
          <w:b/>
          <w:sz w:val="28"/>
          <w:szCs w:val="28"/>
        </w:rPr>
        <w:t>Влияние лекарственного препарата на способность управлять транспортными средствами, механизмами</w:t>
      </w:r>
      <w:bookmarkEnd w:id="17"/>
    </w:p>
    <w:p w14:paraId="5C42E557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>В период лечения пациентам необходимо отказаться от занятий потенциально опасными видами деятельности, требующими повышенной концентрации внимания и быстроты психомоторных реакций, такими как, управление транспортными средствами, обслуживание движущихся механизмов или использование сложной техники.</w:t>
      </w:r>
    </w:p>
    <w:p w14:paraId="0D6522E9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8" w:name="bookmark19"/>
      <w:r w:rsidRPr="00896AF5">
        <w:rPr>
          <w:rFonts w:ascii="Times New Roman" w:hAnsi="Times New Roman" w:cs="Times New Roman"/>
          <w:b/>
          <w:sz w:val="28"/>
          <w:szCs w:val="28"/>
        </w:rPr>
        <w:t>Форма выпуска</w:t>
      </w:r>
      <w:bookmarkEnd w:id="18"/>
    </w:p>
    <w:p w14:paraId="7BF8F21F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>Капсулы, 30 мг.</w:t>
      </w:r>
    </w:p>
    <w:p w14:paraId="186D9948" w14:textId="77777777" w:rsidR="00A26D78" w:rsidRPr="00A26D78" w:rsidRDefault="00A26D78" w:rsidP="00A26D78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D78">
        <w:rPr>
          <w:rFonts w:ascii="Times New Roman" w:hAnsi="Times New Roman" w:cs="Times New Roman"/>
          <w:sz w:val="28"/>
          <w:szCs w:val="28"/>
        </w:rPr>
        <w:t xml:space="preserve">По 10 капсул в контурную ячейковую упаковку из пленки поливинилхлоридной и фольги алюминиевой. </w:t>
      </w:r>
    </w:p>
    <w:p w14:paraId="3F9E291C" w14:textId="77777777" w:rsidR="00A26D78" w:rsidRDefault="00A26D78" w:rsidP="00A26D78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D78">
        <w:rPr>
          <w:rFonts w:ascii="Times New Roman" w:hAnsi="Times New Roman" w:cs="Times New Roman"/>
          <w:sz w:val="28"/>
          <w:szCs w:val="28"/>
        </w:rPr>
        <w:t>По 3 контурные ячейковые упаковки вместе с инструкцией по применению помещают в пачку из картона.</w:t>
      </w:r>
    </w:p>
    <w:p w14:paraId="319BFBBA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9" w:name="bookmark20"/>
      <w:r w:rsidRPr="00896AF5">
        <w:rPr>
          <w:rFonts w:ascii="Times New Roman" w:hAnsi="Times New Roman" w:cs="Times New Roman"/>
          <w:b/>
          <w:sz w:val="28"/>
          <w:szCs w:val="28"/>
        </w:rPr>
        <w:t>Условия хранения</w:t>
      </w:r>
      <w:bookmarkEnd w:id="19"/>
    </w:p>
    <w:p w14:paraId="4814DF45" w14:textId="77777777" w:rsidR="00477EC6" w:rsidRPr="00896AF5" w:rsidRDefault="00896AF5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4DC0" w:rsidRPr="00896AF5">
        <w:rPr>
          <w:rFonts w:ascii="Times New Roman" w:hAnsi="Times New Roman" w:cs="Times New Roman"/>
          <w:sz w:val="28"/>
          <w:szCs w:val="28"/>
        </w:rPr>
        <w:t xml:space="preserve">ри температуре не выше </w:t>
      </w:r>
      <w:r w:rsidR="00B70DD3" w:rsidRPr="00896AF5">
        <w:rPr>
          <w:rFonts w:ascii="Times New Roman" w:hAnsi="Times New Roman" w:cs="Times New Roman"/>
          <w:sz w:val="28"/>
          <w:szCs w:val="28"/>
        </w:rPr>
        <w:t>25</w:t>
      </w:r>
      <w:r w:rsidR="00D85C36">
        <w:rPr>
          <w:rFonts w:ascii="Times New Roman" w:hAnsi="Times New Roman" w:cs="Times New Roman"/>
          <w:sz w:val="28"/>
          <w:szCs w:val="28"/>
        </w:rPr>
        <w:t xml:space="preserve"> </w:t>
      </w:r>
      <w:r w:rsidR="00C24DC0" w:rsidRPr="00896AF5">
        <w:rPr>
          <w:rFonts w:ascii="Times New Roman" w:hAnsi="Times New Roman" w:cs="Times New Roman"/>
          <w:sz w:val="28"/>
          <w:szCs w:val="28"/>
        </w:rPr>
        <w:t>°С.</w:t>
      </w:r>
    </w:p>
    <w:p w14:paraId="63C62598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>Хранить в недоступном для детей месте.</w:t>
      </w:r>
    </w:p>
    <w:p w14:paraId="439D15A8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0" w:name="bookmark21"/>
      <w:r w:rsidRPr="00896AF5">
        <w:rPr>
          <w:rFonts w:ascii="Times New Roman" w:hAnsi="Times New Roman" w:cs="Times New Roman"/>
          <w:b/>
          <w:sz w:val="28"/>
          <w:szCs w:val="28"/>
        </w:rPr>
        <w:t>Срок годности</w:t>
      </w:r>
      <w:bookmarkEnd w:id="20"/>
    </w:p>
    <w:p w14:paraId="7C5494E9" w14:textId="77777777" w:rsidR="00477EC6" w:rsidRPr="00896AF5" w:rsidRDefault="004F1A26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DC0" w:rsidRPr="00896AF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3E1A867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>Не применять по истечении срока годности.</w:t>
      </w:r>
    </w:p>
    <w:p w14:paraId="130657B4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1" w:name="bookmark22"/>
      <w:r w:rsidRPr="00896AF5">
        <w:rPr>
          <w:rFonts w:ascii="Times New Roman" w:hAnsi="Times New Roman" w:cs="Times New Roman"/>
          <w:b/>
          <w:sz w:val="28"/>
          <w:szCs w:val="28"/>
        </w:rPr>
        <w:t>Условия отпуска</w:t>
      </w:r>
      <w:bookmarkEnd w:id="21"/>
    </w:p>
    <w:p w14:paraId="755F5786" w14:textId="77777777" w:rsidR="00477EC6" w:rsidRPr="00896AF5" w:rsidRDefault="00C24DC0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5">
        <w:rPr>
          <w:rFonts w:ascii="Times New Roman" w:hAnsi="Times New Roman" w:cs="Times New Roman"/>
          <w:sz w:val="28"/>
          <w:szCs w:val="28"/>
        </w:rPr>
        <w:t>Отпускают по рецепту.</w:t>
      </w:r>
    </w:p>
    <w:p w14:paraId="2C8E09BB" w14:textId="77777777" w:rsidR="00BB620E" w:rsidRPr="00BB620E" w:rsidRDefault="00BB620E" w:rsidP="00BB620E">
      <w:pPr>
        <w:pStyle w:val="ad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20E">
        <w:rPr>
          <w:rFonts w:ascii="Times New Roman" w:hAnsi="Times New Roman" w:cs="Times New Roman"/>
          <w:b/>
          <w:sz w:val="28"/>
          <w:szCs w:val="28"/>
        </w:rPr>
        <w:t>Юридическое лицо, на имя которого выдано регистрационное удостоверение/Организация, принимающая претензии потребителей</w:t>
      </w:r>
    </w:p>
    <w:p w14:paraId="60180D05" w14:textId="77777777" w:rsidR="00BB620E" w:rsidRPr="00BB620E" w:rsidRDefault="00BB620E" w:rsidP="00BB620E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0E">
        <w:rPr>
          <w:rFonts w:ascii="Times New Roman" w:hAnsi="Times New Roman" w:cs="Times New Roman"/>
          <w:sz w:val="28"/>
          <w:szCs w:val="28"/>
        </w:rPr>
        <w:t xml:space="preserve">ООО «ТАЙМ ФАРМ», Россия </w:t>
      </w:r>
    </w:p>
    <w:p w14:paraId="15B85A9A" w14:textId="77777777" w:rsidR="00BB620E" w:rsidRPr="00BB620E" w:rsidRDefault="00BB620E" w:rsidP="00BB620E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0E">
        <w:rPr>
          <w:rFonts w:ascii="Times New Roman" w:hAnsi="Times New Roman" w:cs="Times New Roman"/>
          <w:sz w:val="28"/>
          <w:szCs w:val="28"/>
        </w:rPr>
        <w:t xml:space="preserve">125367, г. Москва, Полесский проезд, д. 16, стр. 1, </w:t>
      </w:r>
      <w:proofErr w:type="spellStart"/>
      <w:r w:rsidRPr="00BB620E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BB620E">
        <w:rPr>
          <w:rFonts w:ascii="Times New Roman" w:hAnsi="Times New Roman" w:cs="Times New Roman"/>
          <w:sz w:val="28"/>
          <w:szCs w:val="28"/>
        </w:rPr>
        <w:t>. 9/1/3.</w:t>
      </w:r>
    </w:p>
    <w:p w14:paraId="5505752D" w14:textId="5C787AFE" w:rsidR="00297274" w:rsidRPr="00BB620E" w:rsidRDefault="00BB620E" w:rsidP="00BB620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20E">
        <w:rPr>
          <w:rFonts w:ascii="Times New Roman" w:hAnsi="Times New Roman" w:cs="Times New Roman"/>
          <w:sz w:val="28"/>
          <w:szCs w:val="28"/>
        </w:rPr>
        <w:t>Тел.: +7 (495) 741-46-47.</w:t>
      </w:r>
    </w:p>
    <w:p w14:paraId="56F1DBBD" w14:textId="77777777" w:rsidR="00BB620E" w:rsidRPr="00BB620E" w:rsidRDefault="00BB620E" w:rsidP="00BB620E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20E">
        <w:rPr>
          <w:rFonts w:ascii="Times New Roman" w:hAnsi="Times New Roman" w:cs="Times New Roman"/>
          <w:b/>
          <w:sz w:val="28"/>
          <w:szCs w:val="28"/>
        </w:rPr>
        <w:t>Производитель</w:t>
      </w:r>
      <w:r w:rsidRPr="00BB620E">
        <w:rPr>
          <w:rFonts w:ascii="Times New Roman" w:hAnsi="Times New Roman" w:cs="Times New Roman"/>
          <w:b/>
          <w:sz w:val="28"/>
          <w:szCs w:val="28"/>
        </w:rPr>
        <w:tab/>
      </w:r>
    </w:p>
    <w:p w14:paraId="1787CE89" w14:textId="77777777" w:rsidR="00BB620E" w:rsidRPr="00BB620E" w:rsidRDefault="00BB620E" w:rsidP="00BB620E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0E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BB620E">
        <w:rPr>
          <w:rFonts w:ascii="Times New Roman" w:hAnsi="Times New Roman" w:cs="Times New Roman"/>
          <w:sz w:val="28"/>
          <w:szCs w:val="28"/>
        </w:rPr>
        <w:t>Фармпроект</w:t>
      </w:r>
      <w:proofErr w:type="spellEnd"/>
      <w:r w:rsidRPr="00BB620E">
        <w:rPr>
          <w:rFonts w:ascii="Times New Roman" w:hAnsi="Times New Roman" w:cs="Times New Roman"/>
          <w:sz w:val="28"/>
          <w:szCs w:val="28"/>
        </w:rPr>
        <w:t>», Россия</w:t>
      </w:r>
    </w:p>
    <w:p w14:paraId="500B0E53" w14:textId="77777777" w:rsidR="00BB620E" w:rsidRPr="00BB620E" w:rsidRDefault="00BB620E" w:rsidP="00BB6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0E">
        <w:rPr>
          <w:rFonts w:ascii="Times New Roman" w:hAnsi="Times New Roman" w:cs="Times New Roman"/>
          <w:sz w:val="28"/>
          <w:szCs w:val="28"/>
        </w:rPr>
        <w:t>192236, г. Санкт-Петербург, ул. Софийская, д.14, лит. А.</w:t>
      </w:r>
    </w:p>
    <w:p w14:paraId="5331549A" w14:textId="77777777" w:rsidR="00BB620E" w:rsidRPr="00BB620E" w:rsidRDefault="00BB620E" w:rsidP="00BB6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0E">
        <w:rPr>
          <w:rFonts w:ascii="Times New Roman" w:hAnsi="Times New Roman" w:cs="Times New Roman"/>
          <w:sz w:val="28"/>
          <w:szCs w:val="28"/>
        </w:rPr>
        <w:t>или</w:t>
      </w:r>
    </w:p>
    <w:p w14:paraId="2687789B" w14:textId="77777777" w:rsidR="00BB620E" w:rsidRPr="00BB620E" w:rsidRDefault="00BB620E" w:rsidP="00BB620E">
      <w:pPr>
        <w:spacing w:line="360" w:lineRule="auto"/>
        <w:jc w:val="both"/>
        <w:rPr>
          <w:rStyle w:val="af4"/>
          <w:rFonts w:eastAsia="Courier New"/>
          <w:b w:val="0"/>
          <w:bCs w:val="0"/>
          <w:sz w:val="28"/>
          <w:szCs w:val="28"/>
        </w:rPr>
      </w:pPr>
      <w:r w:rsidRPr="00BB620E">
        <w:rPr>
          <w:rStyle w:val="af4"/>
          <w:rFonts w:eastAsia="Courier New"/>
          <w:b w:val="0"/>
          <w:bCs w:val="0"/>
          <w:sz w:val="28"/>
          <w:szCs w:val="28"/>
        </w:rPr>
        <w:lastRenderedPageBreak/>
        <w:t xml:space="preserve">АО «Усолье-Сибирский химфармзавод», Россия, </w:t>
      </w:r>
    </w:p>
    <w:p w14:paraId="0CDBD870" w14:textId="1A2CECBE" w:rsidR="00477EC6" w:rsidRPr="00BB620E" w:rsidRDefault="00BB620E" w:rsidP="00BB620E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0E">
        <w:rPr>
          <w:rStyle w:val="af4"/>
          <w:rFonts w:eastAsia="Courier New"/>
          <w:b w:val="0"/>
          <w:bCs w:val="0"/>
          <w:sz w:val="28"/>
          <w:szCs w:val="28"/>
        </w:rPr>
        <w:t xml:space="preserve">665462, Иркутская обл., г. Усолье-Сибирское, северо-западная часть города, с северо-восточной стороны, в 115 метрах от Прибайкальской автодороги.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63"/>
        <w:gridCol w:w="3951"/>
      </w:tblGrid>
      <w:tr w:rsidR="00896AF5" w:rsidRPr="00896AF5" w14:paraId="7E26CFC9" w14:textId="77777777" w:rsidTr="00643587">
        <w:trPr>
          <w:trHeight w:val="537"/>
        </w:trPr>
        <w:tc>
          <w:tcPr>
            <w:tcW w:w="5387" w:type="dxa"/>
          </w:tcPr>
          <w:p w14:paraId="6379AA1C" w14:textId="054DC2EF" w:rsidR="00896AF5" w:rsidRPr="00896AF5" w:rsidRDefault="00896AF5" w:rsidP="00896A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E989206" w14:textId="1C47B093" w:rsidR="00896AF5" w:rsidRPr="00896AF5" w:rsidRDefault="00896AF5" w:rsidP="00896A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AF5" w:rsidRPr="00896AF5" w14:paraId="56D9152E" w14:textId="77777777" w:rsidTr="00643587">
        <w:tc>
          <w:tcPr>
            <w:tcW w:w="5387" w:type="dxa"/>
          </w:tcPr>
          <w:p w14:paraId="31FE4988" w14:textId="77777777" w:rsidR="00896AF5" w:rsidRPr="00896AF5" w:rsidRDefault="00896AF5" w:rsidP="00896A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357B576" w14:textId="77777777" w:rsidR="00896AF5" w:rsidRPr="00896AF5" w:rsidRDefault="00896AF5" w:rsidP="00896AF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0E7115" w14:textId="77777777" w:rsidR="00896AF5" w:rsidRPr="00896AF5" w:rsidRDefault="00896AF5" w:rsidP="00896AF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6AF5" w:rsidRPr="00896AF5" w:rsidSect="0027035E">
      <w:headerReference w:type="default" r:id="rId6"/>
      <w:type w:val="continuous"/>
      <w:pgSz w:w="11900" w:h="16840"/>
      <w:pgMar w:top="985" w:right="838" w:bottom="1285" w:left="16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5FE1F" w14:textId="77777777" w:rsidR="0027035E" w:rsidRDefault="0027035E">
      <w:r>
        <w:separator/>
      </w:r>
    </w:p>
  </w:endnote>
  <w:endnote w:type="continuationSeparator" w:id="0">
    <w:p w14:paraId="33CAAFA3" w14:textId="77777777" w:rsidR="0027035E" w:rsidRDefault="0027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D5D50" w14:textId="77777777" w:rsidR="0027035E" w:rsidRDefault="0027035E"/>
  </w:footnote>
  <w:footnote w:type="continuationSeparator" w:id="0">
    <w:p w14:paraId="59E4ACF4" w14:textId="77777777" w:rsidR="0027035E" w:rsidRDefault="002703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4562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4C55FA" w14:textId="77777777" w:rsidR="00896AF5" w:rsidRDefault="00896AF5">
        <w:pPr>
          <w:pStyle w:val="ae"/>
          <w:jc w:val="right"/>
        </w:pPr>
      </w:p>
      <w:p w14:paraId="3F8B26B8" w14:textId="77777777" w:rsidR="00896AF5" w:rsidRDefault="00896AF5">
        <w:pPr>
          <w:pStyle w:val="ae"/>
          <w:jc w:val="right"/>
          <w:rPr>
            <w:rFonts w:ascii="Times New Roman" w:hAnsi="Times New Roman" w:cs="Times New Roman"/>
          </w:rPr>
        </w:pPr>
      </w:p>
      <w:p w14:paraId="585944F2" w14:textId="77777777" w:rsidR="00896AF5" w:rsidRPr="00896AF5" w:rsidRDefault="00896AF5">
        <w:pPr>
          <w:pStyle w:val="ae"/>
          <w:jc w:val="right"/>
          <w:rPr>
            <w:rFonts w:ascii="Times New Roman" w:hAnsi="Times New Roman" w:cs="Times New Roman"/>
          </w:rPr>
        </w:pPr>
        <w:r w:rsidRPr="00896AF5">
          <w:rPr>
            <w:rFonts w:ascii="Times New Roman" w:hAnsi="Times New Roman" w:cs="Times New Roman"/>
          </w:rPr>
          <w:fldChar w:fldCharType="begin"/>
        </w:r>
        <w:r w:rsidRPr="00896AF5">
          <w:rPr>
            <w:rFonts w:ascii="Times New Roman" w:hAnsi="Times New Roman" w:cs="Times New Roman"/>
          </w:rPr>
          <w:instrText>PAGE   \* MERGEFORMAT</w:instrText>
        </w:r>
        <w:r w:rsidRPr="00896AF5">
          <w:rPr>
            <w:rFonts w:ascii="Times New Roman" w:hAnsi="Times New Roman" w:cs="Times New Roman"/>
          </w:rPr>
          <w:fldChar w:fldCharType="separate"/>
        </w:r>
        <w:r w:rsidR="004F1A26">
          <w:rPr>
            <w:rFonts w:ascii="Times New Roman" w:hAnsi="Times New Roman" w:cs="Times New Roman"/>
            <w:noProof/>
          </w:rPr>
          <w:t>6</w:t>
        </w:r>
        <w:r w:rsidRPr="00896AF5">
          <w:rPr>
            <w:rFonts w:ascii="Times New Roman" w:hAnsi="Times New Roman" w:cs="Times New Roman"/>
          </w:rPr>
          <w:fldChar w:fldCharType="end"/>
        </w:r>
      </w:p>
    </w:sdtContent>
  </w:sdt>
  <w:p w14:paraId="73B6EB87" w14:textId="77777777" w:rsidR="00896AF5" w:rsidRDefault="00896AF5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C6"/>
    <w:rsid w:val="00147DD3"/>
    <w:rsid w:val="0027035E"/>
    <w:rsid w:val="00297274"/>
    <w:rsid w:val="00477EC6"/>
    <w:rsid w:val="004C1FEE"/>
    <w:rsid w:val="004D6C13"/>
    <w:rsid w:val="004D6DDD"/>
    <w:rsid w:val="004F1A26"/>
    <w:rsid w:val="005C4F0C"/>
    <w:rsid w:val="00615061"/>
    <w:rsid w:val="007454D1"/>
    <w:rsid w:val="00793A71"/>
    <w:rsid w:val="007D19C5"/>
    <w:rsid w:val="00896AF5"/>
    <w:rsid w:val="00A26D78"/>
    <w:rsid w:val="00A52C04"/>
    <w:rsid w:val="00A66AA6"/>
    <w:rsid w:val="00AE3EB4"/>
    <w:rsid w:val="00B70DD3"/>
    <w:rsid w:val="00BB620E"/>
    <w:rsid w:val="00C237FC"/>
    <w:rsid w:val="00C244F0"/>
    <w:rsid w:val="00C24DC0"/>
    <w:rsid w:val="00D52E76"/>
    <w:rsid w:val="00D85C36"/>
    <w:rsid w:val="00E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86EFC"/>
  <w15:docId w15:val="{76E2ABE3-CAFF-4A15-97FD-24B23D6F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8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80" w:after="580" w:line="26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21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21" w:lineRule="exact"/>
    </w:pPr>
    <w:rPr>
      <w:rFonts w:ascii="Times New Roman" w:eastAsia="Times New Roman" w:hAnsi="Times New Roman" w:cs="Times New Roman"/>
      <w:i/>
      <w:iCs/>
    </w:rPr>
  </w:style>
  <w:style w:type="character" w:styleId="a6">
    <w:name w:val="annotation reference"/>
    <w:basedOn w:val="a0"/>
    <w:uiPriority w:val="99"/>
    <w:semiHidden/>
    <w:unhideWhenUsed/>
    <w:rsid w:val="00B70D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70DD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70DD3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70DD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70DD3"/>
    <w:rPr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0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0DD3"/>
    <w:rPr>
      <w:rFonts w:ascii="Tahoma" w:hAnsi="Tahoma" w:cs="Tahoma"/>
      <w:color w:val="000000"/>
      <w:sz w:val="16"/>
      <w:szCs w:val="16"/>
    </w:rPr>
  </w:style>
  <w:style w:type="paragraph" w:styleId="ad">
    <w:name w:val="No Spacing"/>
    <w:uiPriority w:val="1"/>
    <w:qFormat/>
    <w:rsid w:val="00896AF5"/>
    <w:rPr>
      <w:color w:val="000000"/>
    </w:rPr>
  </w:style>
  <w:style w:type="paragraph" w:styleId="ae">
    <w:name w:val="header"/>
    <w:basedOn w:val="a"/>
    <w:link w:val="af"/>
    <w:uiPriority w:val="99"/>
    <w:unhideWhenUsed/>
    <w:rsid w:val="00896AF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6AF5"/>
    <w:rPr>
      <w:color w:val="000000"/>
    </w:rPr>
  </w:style>
  <w:style w:type="paragraph" w:styleId="af0">
    <w:name w:val="footer"/>
    <w:basedOn w:val="a"/>
    <w:link w:val="af1"/>
    <w:uiPriority w:val="99"/>
    <w:unhideWhenUsed/>
    <w:rsid w:val="00896AF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6AF5"/>
    <w:rPr>
      <w:color w:val="000000"/>
    </w:rPr>
  </w:style>
  <w:style w:type="paragraph" w:styleId="af2">
    <w:name w:val="Body Text"/>
    <w:basedOn w:val="a"/>
    <w:link w:val="af3"/>
    <w:rsid w:val="00BB620E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Основной текст Знак"/>
    <w:basedOn w:val="a0"/>
    <w:link w:val="af2"/>
    <w:rsid w:val="00BB620E"/>
    <w:rPr>
      <w:rFonts w:ascii="Times New Roman" w:eastAsia="Times New Roman" w:hAnsi="Times New Roman" w:cs="Times New Roman"/>
      <w:lang w:bidi="ar-SA"/>
    </w:rPr>
  </w:style>
  <w:style w:type="character" w:customStyle="1" w:styleId="af4">
    <w:name w:val="Основной текст + Полужирный"/>
    <w:basedOn w:val="a0"/>
    <w:rsid w:val="00BB6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Смачков</dc:creator>
  <cp:lastModifiedBy>Конюшихин Андрей Николаевич</cp:lastModifiedBy>
  <cp:revision>3</cp:revision>
  <dcterms:created xsi:type="dcterms:W3CDTF">2024-05-08T07:11:00Z</dcterms:created>
  <dcterms:modified xsi:type="dcterms:W3CDTF">2024-05-08T07:16:00Z</dcterms:modified>
</cp:coreProperties>
</file>